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24" w:tblpY="834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00"/>
        <w:gridCol w:w="293"/>
        <w:gridCol w:w="172"/>
        <w:gridCol w:w="1259"/>
        <w:gridCol w:w="361"/>
        <w:gridCol w:w="180"/>
        <w:gridCol w:w="795"/>
        <w:gridCol w:w="12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首次检测时间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272" w:type="dxa"/>
            <w:gridSpan w:val="5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960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论文首次检测结果（全文总复制比）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□准予送审，□修改后重新检测 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956" w:type="dxa"/>
            <w:gridSpan w:val="1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所作的修改说明（可另附页）：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25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修改后重新检测结果（全文总复制比）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研究生培养单位主管研究生教育负责人审查意见：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负责人签字：                                      年   月    日</w:t>
            </w:r>
          </w:p>
        </w:tc>
      </w:tr>
    </w:tbl>
    <w:p>
      <w:pPr>
        <w:jc w:val="center"/>
        <w:rPr>
          <w:rFonts w:hint="eastAsia" w:ascii="ˎ̥" w:hAnsi="ˎ̥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ˎ̥" w:hAnsi="ˎ̥" w:cs="宋体"/>
          <w:b/>
          <w:color w:val="000000"/>
          <w:kern w:val="0"/>
          <w:sz w:val="32"/>
          <w:szCs w:val="32"/>
        </w:rPr>
        <w:t>广东外语外贸大学研究生学位论文学术不端行为检测审核</w:t>
      </w:r>
      <w:r>
        <w:rPr>
          <w:rFonts w:hint="eastAsia" w:ascii="ˎ̥" w:hAnsi="ˎ̥" w:cs="宋体"/>
          <w:b/>
          <w:color w:val="000000"/>
          <w:kern w:val="0"/>
          <w:sz w:val="32"/>
          <w:szCs w:val="32"/>
          <w:lang w:eastAsia="zh-CN"/>
        </w:rPr>
        <w:t>表</w:t>
      </w:r>
      <w:bookmarkEnd w:id="0"/>
    </w:p>
    <w:p>
      <w:pPr>
        <w:widowControl/>
        <w:spacing w:line="520" w:lineRule="exact"/>
        <w:rPr>
          <w:rFonts w:hint="eastAsia" w:ascii="宋体" w:hAnsi="宋体" w:cs="宋体"/>
          <w:color w:val="666666"/>
          <w:kern w:val="0"/>
          <w:sz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4268C"/>
    <w:rsid w:val="062426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2017-03-30T02:39:00Z</dcterms:created>
  <dc:creator>Administrator</dc:creator>
  <cp:lastModifiedBy>Administrator</cp:lastModifiedBy>
  <dcterms:modified xsi:type="dcterms:W3CDTF">2017-03-30T02:40:14Z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